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1919" w14:textId="77777777" w:rsidR="009835FC" w:rsidRPr="00642B88" w:rsidRDefault="009835FC" w:rsidP="00642B88">
      <w:pPr>
        <w:spacing w:after="0" w:line="240" w:lineRule="auto"/>
        <w:jc w:val="center"/>
        <w:rPr>
          <w:b/>
          <w:sz w:val="24"/>
          <w:szCs w:val="24"/>
          <w:u w:val="single"/>
        </w:rPr>
      </w:pPr>
      <w:r w:rsidRPr="00642B88">
        <w:rPr>
          <w:b/>
          <w:sz w:val="24"/>
          <w:szCs w:val="24"/>
          <w:u w:val="single"/>
        </w:rPr>
        <w:t>Criteria for Eligibility for the Filipino Veterans of WWII Congressional Gold Medal Act of 2015</w:t>
      </w:r>
    </w:p>
    <w:p w14:paraId="6A859FC2" w14:textId="77777777" w:rsidR="009835FC" w:rsidRPr="009835FC" w:rsidRDefault="009835FC" w:rsidP="009835FC">
      <w:pPr>
        <w:spacing w:after="0" w:line="240" w:lineRule="auto"/>
      </w:pPr>
      <w:r w:rsidRPr="009835FC">
        <w:t xml:space="preserve"> </w:t>
      </w:r>
    </w:p>
    <w:p w14:paraId="234EC0DA" w14:textId="77777777" w:rsidR="009835FC" w:rsidRPr="00642B88" w:rsidRDefault="009835FC" w:rsidP="009835FC">
      <w:pPr>
        <w:spacing w:after="0" w:line="240" w:lineRule="auto"/>
        <w:rPr>
          <w:b/>
        </w:rPr>
      </w:pPr>
      <w:r w:rsidRPr="00642B88">
        <w:rPr>
          <w:b/>
        </w:rPr>
        <w:t xml:space="preserve">WHAT IS THE “FILIPINO VETERANS OF WORLD WAR II NATIONAL </w:t>
      </w:r>
      <w:proofErr w:type="gramStart"/>
      <w:r w:rsidRPr="00642B88">
        <w:rPr>
          <w:b/>
        </w:rPr>
        <w:t>VETERANS</w:t>
      </w:r>
      <w:proofErr w:type="gramEnd"/>
      <w:r w:rsidRPr="00642B88">
        <w:rPr>
          <w:b/>
        </w:rPr>
        <w:t xml:space="preserve"> REGISTRY?”</w:t>
      </w:r>
    </w:p>
    <w:p w14:paraId="1F4929D6" w14:textId="16787056" w:rsidR="009835FC" w:rsidRPr="009835FC" w:rsidRDefault="009835FC" w:rsidP="009835FC">
      <w:pPr>
        <w:spacing w:after="0" w:line="240" w:lineRule="auto"/>
      </w:pPr>
      <w:r w:rsidRPr="009835FC">
        <w:t>The Filipino Veterans of World War II National Veterans Registry (the “Veterans Registry”) is a database of Filipino and American veterans of World War II (the “Filipino Veterans of World War II</w:t>
      </w:r>
      <w:r w:rsidR="00C43708">
        <w:t>”</w:t>
      </w:r>
      <w:r w:rsidRPr="009835FC">
        <w:t>) who qualify collectively as awardees of the United States Congressional Gold Medal (“CGM Awardees”) under the Filipino Veterans of World War II Congressional Gold Medal Act of 2015, Public Law 114-265, 130 Stat. 1376 (114th Cong.) (the “CGM Act”).</w:t>
      </w:r>
    </w:p>
    <w:p w14:paraId="54D6CAE3" w14:textId="77777777" w:rsidR="009835FC" w:rsidRPr="009835FC" w:rsidRDefault="009835FC" w:rsidP="009835FC">
      <w:pPr>
        <w:spacing w:after="0" w:line="240" w:lineRule="auto"/>
      </w:pPr>
      <w:r w:rsidRPr="009835FC">
        <w:t>​</w:t>
      </w:r>
    </w:p>
    <w:p w14:paraId="4F323FA1" w14:textId="64E545D4" w:rsidR="009835FC" w:rsidRPr="009835FC" w:rsidRDefault="009835FC" w:rsidP="009835FC">
      <w:pPr>
        <w:spacing w:after="0" w:line="240" w:lineRule="auto"/>
      </w:pPr>
      <w:r w:rsidRPr="009835FC">
        <w:rPr>
          <w:b/>
          <w:u w:val="single"/>
        </w:rPr>
        <w:t>Purpose:</w:t>
      </w:r>
      <w:r w:rsidRPr="009835FC">
        <w:t xml:space="preserve">  To define specific criteria required to account for the number of living veterans, and surviving family member</w:t>
      </w:r>
      <w:r w:rsidR="00C43708">
        <w:t>s</w:t>
      </w:r>
      <w:r w:rsidRPr="009835FC">
        <w:t>, i.e., spouses, child/children, or closest relative</w:t>
      </w:r>
      <w:r w:rsidR="00C43708">
        <w:t>s</w:t>
      </w:r>
      <w:r w:rsidRPr="009835FC">
        <w:t>.  This will assist the FILVETREP Board of Directors determine the number of Congressional Gold Medal replicas to be purchased from the US Mint, for rostering purposes, for invitations to scheduled events, at the Soldier Stories series, and budget programming to determine operating expenses for the entirety of the FILVETREP project.</w:t>
      </w:r>
    </w:p>
    <w:p w14:paraId="55BFE32C" w14:textId="77777777" w:rsidR="009835FC" w:rsidRPr="009835FC" w:rsidRDefault="009835FC" w:rsidP="009835FC">
      <w:pPr>
        <w:spacing w:after="0" w:line="240" w:lineRule="auto"/>
      </w:pPr>
      <w:r w:rsidRPr="009835FC">
        <w:t>​</w:t>
      </w:r>
    </w:p>
    <w:p w14:paraId="3D7AE71A" w14:textId="77777777" w:rsidR="009835FC" w:rsidRPr="009835FC" w:rsidRDefault="009835FC" w:rsidP="009835FC">
      <w:pPr>
        <w:spacing w:after="0" w:line="240" w:lineRule="auto"/>
      </w:pPr>
      <w:r w:rsidRPr="009835FC">
        <w:rPr>
          <w:b/>
          <w:u w:val="single"/>
        </w:rPr>
        <w:t>Criteria:</w:t>
      </w:r>
      <w:r w:rsidRPr="009835FC">
        <w:t xml:space="preserve">  The following criteria applies for eligibility to receive recognition and presentation of the Congressional Gold Medal upon passage of the Filipino Veterans of WWII Congressional Gold Medal Act of 2015 by Congress.</w:t>
      </w:r>
    </w:p>
    <w:p w14:paraId="2F009B4D" w14:textId="77777777" w:rsidR="009835FC" w:rsidRPr="009835FC" w:rsidRDefault="009835FC" w:rsidP="009835FC">
      <w:pPr>
        <w:spacing w:after="0" w:line="240" w:lineRule="auto"/>
      </w:pPr>
      <w:r w:rsidRPr="009835FC">
        <w:t>For Veterans – still living and residing in the US or Philippines</w:t>
      </w:r>
    </w:p>
    <w:p w14:paraId="45529E0E" w14:textId="77777777" w:rsidR="009835FC" w:rsidRPr="009835FC" w:rsidRDefault="009835FC" w:rsidP="009835FC">
      <w:pPr>
        <w:spacing w:after="0" w:line="240" w:lineRule="auto"/>
      </w:pPr>
      <w:r w:rsidRPr="009835FC">
        <w:t xml:space="preserve"> </w:t>
      </w:r>
    </w:p>
    <w:p w14:paraId="78C5EE78" w14:textId="1AB1BFCA" w:rsidR="009835FC" w:rsidRPr="009835FC" w:rsidRDefault="009835FC" w:rsidP="00C43708">
      <w:pPr>
        <w:tabs>
          <w:tab w:val="left" w:pos="360"/>
          <w:tab w:val="left" w:pos="540"/>
        </w:tabs>
        <w:spacing w:after="0" w:line="240" w:lineRule="auto"/>
      </w:pPr>
      <w:r w:rsidRPr="009835FC">
        <w:t>Section 3</w:t>
      </w:r>
      <w:r w:rsidR="00C43708">
        <w:t>(a)</w:t>
      </w:r>
      <w:r w:rsidRPr="009835FC">
        <w:t xml:space="preserve"> of the CGM Act defines “Filipino Veterans of World War II” </w:t>
      </w:r>
      <w:r w:rsidR="00C43708">
        <w:t xml:space="preserve">to include </w:t>
      </w:r>
      <w:r w:rsidRPr="009835FC">
        <w:t>individual</w:t>
      </w:r>
      <w:r w:rsidR="00C43708">
        <w:t>s</w:t>
      </w:r>
      <w:r w:rsidRPr="009835FC">
        <w:t xml:space="preserve"> who served</w:t>
      </w:r>
      <w:r w:rsidR="00C43708">
        <w:t>:</w:t>
      </w:r>
    </w:p>
    <w:p w14:paraId="14C0F160" w14:textId="3368CE37" w:rsidR="009835FC" w:rsidRPr="009835FC" w:rsidRDefault="009835FC" w:rsidP="009835FC">
      <w:pPr>
        <w:tabs>
          <w:tab w:val="left" w:pos="360"/>
          <w:tab w:val="left" w:pos="540"/>
        </w:tabs>
        <w:spacing w:after="0" w:line="240" w:lineRule="auto"/>
        <w:ind w:left="994"/>
      </w:pPr>
      <w:r w:rsidRPr="009835FC">
        <w:t xml:space="preserve">(1) honorably at any time during the period beginning on July 26, 1941, and ending on December </w:t>
      </w:r>
      <w:proofErr w:type="gramStart"/>
      <w:r w:rsidRPr="009835FC">
        <w:t>31,1946;</w:t>
      </w:r>
      <w:proofErr w:type="gramEnd"/>
    </w:p>
    <w:p w14:paraId="0911FDAB" w14:textId="018B6F61" w:rsidR="009835FC" w:rsidRPr="009835FC" w:rsidRDefault="009835FC" w:rsidP="009835FC">
      <w:pPr>
        <w:tabs>
          <w:tab w:val="left" w:pos="360"/>
          <w:tab w:val="left" w:pos="540"/>
        </w:tabs>
        <w:spacing w:after="0" w:line="240" w:lineRule="auto"/>
        <w:ind w:left="994"/>
      </w:pPr>
      <w:r w:rsidRPr="009835FC">
        <w:t>(2) in an active-duty status under the command of the United States Armed Forces in the Far East; and</w:t>
      </w:r>
    </w:p>
    <w:p w14:paraId="123D3CF9" w14:textId="0E0BB77D" w:rsidR="009835FC" w:rsidRPr="009835FC" w:rsidRDefault="009835FC" w:rsidP="009835FC">
      <w:pPr>
        <w:tabs>
          <w:tab w:val="left" w:pos="360"/>
          <w:tab w:val="left" w:pos="540"/>
        </w:tabs>
        <w:spacing w:after="0" w:line="240" w:lineRule="auto"/>
        <w:ind w:left="994"/>
      </w:pPr>
      <w:r w:rsidRPr="009835FC">
        <w:t>(3)(A) within the Philippine Commonwealth Army, the Philippine Scouts, the Philippine Constabulary, Recognized Guerrilla units, the New Philippine Scouts, the First Filipino Infantry Regiment, the Second Filipino Infantry Battalion, or the First Reconnaissance Battalion; or (B) commanding or serving in a unit described in paragraph (3)(A) as a United States milit</w:t>
      </w:r>
      <w:r w:rsidR="00C43708">
        <w:t>ary officer or enlisted soldier.</w:t>
      </w:r>
    </w:p>
    <w:p w14:paraId="5258EA9B" w14:textId="77777777" w:rsidR="009835FC" w:rsidRPr="009835FC" w:rsidRDefault="009835FC" w:rsidP="009835FC">
      <w:pPr>
        <w:spacing w:after="0" w:line="240" w:lineRule="auto"/>
      </w:pPr>
      <w:r w:rsidRPr="009835FC">
        <w:t>​</w:t>
      </w:r>
    </w:p>
    <w:p w14:paraId="382D2775" w14:textId="74DB91B9" w:rsidR="009835FC" w:rsidRPr="009835FC" w:rsidRDefault="009835FC" w:rsidP="009835FC">
      <w:pPr>
        <w:spacing w:after="0" w:line="240" w:lineRule="auto"/>
      </w:pPr>
      <w:r w:rsidRPr="009835FC">
        <w:t xml:space="preserve">Traditionally, the Speaker of the U.S. House of Representatives formally presents a single gold medal to the CGM </w:t>
      </w:r>
      <w:r w:rsidR="00C43708">
        <w:t xml:space="preserve">awardees on an agreed-upon date. This first occurred </w:t>
      </w:r>
      <w:proofErr w:type="gramStart"/>
      <w:r w:rsidR="00C43708">
        <w:t>on</w:t>
      </w:r>
      <w:proofErr w:type="gramEnd"/>
      <w:r w:rsidRPr="009835FC">
        <w:t xml:space="preserve"> October and November 2017 (the “Official Presentation”).  The Filipino Veterans Recogniti</w:t>
      </w:r>
      <w:r w:rsidR="009F29EC">
        <w:t>on and Education Project (“FILVET</w:t>
      </w:r>
      <w:r w:rsidRPr="009835FC">
        <w:t>REP”)—the proponent of the CGM legislation and the recognized national point-of-contact (“POC”) for the CG</w:t>
      </w:r>
      <w:r w:rsidR="00C43708">
        <w:t>M and CGM-related activities—</w:t>
      </w:r>
      <w:r w:rsidRPr="009835FC">
        <w:t>also</w:t>
      </w:r>
      <w:r w:rsidR="00C43708">
        <w:t xml:space="preserve"> held</w:t>
      </w:r>
      <w:r w:rsidRPr="009835FC">
        <w:t xml:space="preserve"> a national celebration in Washington, D.C., honoring the Filipino Veterans of World War II (the “National Celebration”) in conjunction with the Official Presentation.  During</w:t>
      </w:r>
      <w:r w:rsidR="00C43708">
        <w:t xml:space="preserve"> the National Celebration, FILVETREP also</w:t>
      </w:r>
      <w:r w:rsidRPr="009835FC">
        <w:t xml:space="preserve"> present</w:t>
      </w:r>
      <w:r w:rsidR="00C43708">
        <w:t>ed</w:t>
      </w:r>
      <w:r w:rsidRPr="009835FC">
        <w:t xml:space="preserve"> framed copies of the CGM Act and bronze replicas of the CGM to Filipino Veterans of World War II or their next-of-kin whose elig</w:t>
      </w:r>
      <w:r w:rsidR="00C43708">
        <w:t>ibility under the CGM Act was</w:t>
      </w:r>
      <w:r w:rsidRPr="009835FC">
        <w:t xml:space="preserve"> determined and confirmed by the “Eligibility</w:t>
      </w:r>
      <w:r w:rsidR="00C43708">
        <w:t xml:space="preserve"> Committee” designated by FILVET</w:t>
      </w:r>
      <w:r w:rsidRPr="009835FC">
        <w:t>REP.</w:t>
      </w:r>
    </w:p>
    <w:p w14:paraId="374F839A" w14:textId="77777777" w:rsidR="009835FC" w:rsidRPr="009835FC" w:rsidRDefault="009835FC" w:rsidP="009835FC">
      <w:pPr>
        <w:spacing w:after="0" w:line="240" w:lineRule="auto"/>
      </w:pPr>
      <w:r w:rsidRPr="009835FC">
        <w:t>​</w:t>
      </w:r>
    </w:p>
    <w:p w14:paraId="00788B75" w14:textId="09CFDAE4" w:rsidR="009835FC" w:rsidRPr="009835FC" w:rsidRDefault="009835FC" w:rsidP="009835FC">
      <w:pPr>
        <w:spacing w:after="0" w:line="240" w:lineRule="auto"/>
        <w:rPr>
          <w:b/>
          <w:u w:val="single"/>
        </w:rPr>
      </w:pPr>
      <w:r w:rsidRPr="009835FC">
        <w:rPr>
          <w:b/>
          <w:u w:val="single"/>
        </w:rPr>
        <w:t xml:space="preserve">For Surviving Relative of </w:t>
      </w:r>
      <w:r w:rsidR="00C43708">
        <w:rPr>
          <w:b/>
          <w:u w:val="single"/>
        </w:rPr>
        <w:t xml:space="preserve">Deceased Veterans – spouses, </w:t>
      </w:r>
      <w:r w:rsidRPr="009835FC">
        <w:rPr>
          <w:b/>
          <w:u w:val="single"/>
        </w:rPr>
        <w:t>surviving child</w:t>
      </w:r>
      <w:r w:rsidR="00C43708">
        <w:rPr>
          <w:b/>
          <w:u w:val="single"/>
        </w:rPr>
        <w:t>ren</w:t>
      </w:r>
      <w:r w:rsidRPr="009835FC">
        <w:rPr>
          <w:b/>
          <w:u w:val="single"/>
        </w:rPr>
        <w:t>, or closest relative</w:t>
      </w:r>
      <w:r w:rsidR="00C43708">
        <w:rPr>
          <w:b/>
          <w:u w:val="single"/>
        </w:rPr>
        <w:t>s</w:t>
      </w:r>
      <w:r w:rsidRPr="009835FC">
        <w:rPr>
          <w:b/>
          <w:u w:val="single"/>
        </w:rPr>
        <w:t>.</w:t>
      </w:r>
    </w:p>
    <w:p w14:paraId="2B8AB92F" w14:textId="77777777" w:rsidR="009835FC" w:rsidRPr="009835FC" w:rsidRDefault="009835FC" w:rsidP="009835FC">
      <w:pPr>
        <w:spacing w:after="0" w:line="240" w:lineRule="auto"/>
      </w:pPr>
      <w:r w:rsidRPr="009835FC">
        <w:t xml:space="preserve">The surviving relative(s) must provide proof of relations to the deceased Veteran to include any documentation of the Veteran’s WWII service.  Such proof can be a DD214 of the veteran, any documentations from the authoritative sources of the U.S. or Philippines -National Archives, US Army or Philippine government agencies, awards, enlisted records, pay records, newspaper clipping, or anything to determine eligibility for the CGM.  </w:t>
      </w:r>
    </w:p>
    <w:p w14:paraId="03EF03F7" w14:textId="77777777" w:rsidR="009835FC" w:rsidRPr="009835FC" w:rsidRDefault="009835FC" w:rsidP="009835FC">
      <w:pPr>
        <w:spacing w:after="0" w:line="240" w:lineRule="auto"/>
      </w:pPr>
      <w:r w:rsidRPr="009835FC">
        <w:t xml:space="preserve"> </w:t>
      </w:r>
    </w:p>
    <w:p w14:paraId="0377C914" w14:textId="2C6B1802" w:rsidR="009835FC" w:rsidRPr="009835FC" w:rsidRDefault="009835FC" w:rsidP="009835FC">
      <w:pPr>
        <w:spacing w:after="0" w:line="240" w:lineRule="auto"/>
      </w:pPr>
      <w:r w:rsidRPr="009835FC">
        <w:rPr>
          <w:b/>
          <w:u w:val="single"/>
        </w:rPr>
        <w:t>Non-Disclosure:</w:t>
      </w:r>
      <w:r w:rsidRPr="009835FC">
        <w:t xml:space="preserve">  Infor</w:t>
      </w:r>
      <w:r w:rsidR="00C43708">
        <w:t>mation posted on the rosters is</w:t>
      </w:r>
      <w:r w:rsidRPr="009835FC">
        <w:t xml:space="preserve"> considered as sensitive in nature and may not be disclosed to unauthorized persons or agencies without first notifying the FILV</w:t>
      </w:r>
      <w:r w:rsidR="00C43708">
        <w:t>ETREP General Counsel for approval to</w:t>
      </w:r>
      <w:r w:rsidRPr="009835FC">
        <w:t xml:space="preserve"> release. The rosters are for internal use only within the FILVETREP board organization and the POCs below.  Provisions of the Privacy Act of 1974 applies to collection of information regarding the FILVETREP project.</w:t>
      </w:r>
    </w:p>
    <w:p w14:paraId="2569B1C9" w14:textId="77777777" w:rsidR="009835FC" w:rsidRPr="009835FC" w:rsidRDefault="009835FC" w:rsidP="009835FC">
      <w:pPr>
        <w:spacing w:after="0" w:line="240" w:lineRule="auto"/>
      </w:pPr>
      <w:r w:rsidRPr="009835FC">
        <w:t xml:space="preserve"> </w:t>
      </w:r>
    </w:p>
    <w:p w14:paraId="62D63FFA" w14:textId="77777777" w:rsidR="009835FC" w:rsidRPr="009835FC" w:rsidRDefault="009835FC" w:rsidP="009835FC">
      <w:pPr>
        <w:spacing w:after="0" w:line="240" w:lineRule="auto"/>
        <w:rPr>
          <w:b/>
          <w:u w:val="single"/>
        </w:rPr>
      </w:pPr>
      <w:r w:rsidRPr="009835FC">
        <w:rPr>
          <w:b/>
          <w:u w:val="single"/>
        </w:rPr>
        <w:t>Points of Contact:</w:t>
      </w:r>
    </w:p>
    <w:p w14:paraId="1F911CDD" w14:textId="77777777" w:rsidR="00642B88" w:rsidRDefault="00642B88" w:rsidP="009835FC">
      <w:pPr>
        <w:spacing w:after="0" w:line="240" w:lineRule="auto"/>
      </w:pPr>
      <w:r w:rsidRPr="00100818">
        <w:t>Luisa Antonio,</w:t>
      </w:r>
      <w:r w:rsidRPr="00D26D6F">
        <w:t xml:space="preserve"> </w:t>
      </w:r>
      <w:hyperlink r:id="rId5" w:history="1">
        <w:r w:rsidRPr="003F5FBB">
          <w:rPr>
            <w:rStyle w:val="Hyperlink"/>
          </w:rPr>
          <w:t>cgm@sfbec.org</w:t>
        </w:r>
      </w:hyperlink>
    </w:p>
    <w:p w14:paraId="3C315A27" w14:textId="73CA0A07" w:rsidR="009835FC" w:rsidRPr="009835FC" w:rsidRDefault="00642B88" w:rsidP="009835FC">
      <w:pPr>
        <w:spacing w:after="0" w:line="240" w:lineRule="auto"/>
      </w:pPr>
      <w:r>
        <w:t>Nickie Tuthill-Delute, fanhscgm.info@gmail.com</w:t>
      </w:r>
    </w:p>
    <w:p w14:paraId="4C5C710B" w14:textId="54F00505" w:rsidR="009835FC" w:rsidRDefault="009835FC" w:rsidP="009835FC">
      <w:pPr>
        <w:spacing w:after="0" w:line="240" w:lineRule="auto"/>
      </w:pPr>
      <w:r w:rsidRPr="009835FC">
        <w:t>​</w:t>
      </w:r>
    </w:p>
    <w:p w14:paraId="16FD80C3" w14:textId="44E7CD42" w:rsidR="009835FC" w:rsidRDefault="009835FC" w:rsidP="009835FC">
      <w:pPr>
        <w:spacing w:after="0" w:line="240" w:lineRule="auto"/>
      </w:pPr>
    </w:p>
    <w:p w14:paraId="0BBA28A8" w14:textId="77777777" w:rsidR="00DD4BA5" w:rsidRPr="009835FC" w:rsidRDefault="00DD4BA5" w:rsidP="009835FC">
      <w:pPr>
        <w:spacing w:after="0" w:line="240" w:lineRule="auto"/>
      </w:pPr>
    </w:p>
    <w:p w14:paraId="7676DEE4" w14:textId="77777777" w:rsidR="00642B88" w:rsidRPr="00642B88" w:rsidRDefault="00642B88" w:rsidP="00642B88">
      <w:pPr>
        <w:pStyle w:val="font8"/>
        <w:jc w:val="center"/>
        <w:rPr>
          <w:rStyle w:val="color20"/>
          <w:rFonts w:ascii="Helvetica-W01-Roman" w:hAnsi="Helvetica-W01-Roman" w:cs="Arial"/>
          <w:b/>
          <w:bCs/>
          <w:color w:val="FF0000"/>
          <w:sz w:val="28"/>
          <w:szCs w:val="28"/>
        </w:rPr>
      </w:pPr>
      <w:r w:rsidRPr="00642B88">
        <w:rPr>
          <w:rStyle w:val="color20"/>
          <w:rFonts w:ascii="Helvetica-W01-Roman" w:hAnsi="Helvetica-W01-Roman" w:cs="Arial"/>
          <w:b/>
          <w:bCs/>
          <w:color w:val="FF0000"/>
          <w:sz w:val="28"/>
          <w:szCs w:val="28"/>
        </w:rPr>
        <w:lastRenderedPageBreak/>
        <w:t>Instructions for the Application</w:t>
      </w:r>
    </w:p>
    <w:p w14:paraId="4951CA23" w14:textId="77777777" w:rsidR="00642B88" w:rsidRPr="00642B88" w:rsidRDefault="00642B88" w:rsidP="00642B88">
      <w:pPr>
        <w:pStyle w:val="font8"/>
        <w:jc w:val="center"/>
        <w:rPr>
          <w:rFonts w:ascii="Arial" w:hAnsi="Arial" w:cs="Arial"/>
          <w:b/>
        </w:rPr>
      </w:pPr>
      <w:r w:rsidRPr="00642B88">
        <w:rPr>
          <w:rStyle w:val="color20"/>
          <w:rFonts w:ascii="Helvetica-W01-Roman" w:hAnsi="Helvetica-W01-Roman" w:cs="Arial"/>
          <w:b/>
        </w:rPr>
        <w:t>Filipino WWII Congressional Gold Medal</w:t>
      </w:r>
    </w:p>
    <w:p w14:paraId="61C47D8D" w14:textId="7F25EB9F" w:rsidR="00642B88" w:rsidRPr="00642B88" w:rsidRDefault="00642B88" w:rsidP="00873947">
      <w:pPr>
        <w:pStyle w:val="font8"/>
        <w:rPr>
          <w:rFonts w:ascii="Helvetica-W01-Roman" w:hAnsi="Helvetica-W01-Roman" w:cs="Arial"/>
        </w:rPr>
      </w:pPr>
      <w:r w:rsidRPr="00642B88">
        <w:rPr>
          <w:rStyle w:val="wixguard"/>
          <w:rFonts w:ascii="Helvetica-W01-Roman" w:hAnsi="Helvetica-W01-Roman" w:cs="Arial"/>
          <w:b/>
          <w:bCs/>
          <w:u w:val="single"/>
        </w:rPr>
        <w:t>​</w:t>
      </w:r>
      <w:r w:rsidRPr="00642B88">
        <w:rPr>
          <w:rStyle w:val="color20"/>
          <w:rFonts w:ascii="Helvetica-W01-Roman" w:hAnsi="Helvetica-W01-Roman" w:cs="Arial"/>
        </w:rPr>
        <w:t>Please Download the Filipino WWII Congressional Gold Medal Applicatio</w:t>
      </w:r>
      <w:r>
        <w:rPr>
          <w:rStyle w:val="color20"/>
          <w:rFonts w:ascii="Helvetica-W01-Roman" w:hAnsi="Helvetica-W01-Roman" w:cs="Arial"/>
        </w:rPr>
        <w:t>n by clicking the Application CGM form file</w:t>
      </w:r>
      <w:r w:rsidRPr="00642B88">
        <w:rPr>
          <w:rStyle w:val="color20"/>
          <w:rFonts w:ascii="Helvetica-W01-Roman" w:hAnsi="Helvetica-W01-Roman" w:cs="Arial"/>
        </w:rPr>
        <w:t>.</w:t>
      </w:r>
    </w:p>
    <w:p w14:paraId="4A116616" w14:textId="77777777" w:rsidR="00642B88" w:rsidRPr="00642B88" w:rsidRDefault="00642B88" w:rsidP="00873947">
      <w:pPr>
        <w:pStyle w:val="font8"/>
        <w:numPr>
          <w:ilvl w:val="0"/>
          <w:numId w:val="4"/>
        </w:numPr>
        <w:rPr>
          <w:rFonts w:ascii="Helvetica-W01-Roman" w:hAnsi="Helvetica-W01-Roman" w:cs="Arial"/>
        </w:rPr>
      </w:pPr>
      <w:r w:rsidRPr="00642B88">
        <w:rPr>
          <w:rStyle w:val="color20"/>
          <w:rFonts w:ascii="Helvetica-W01-Roman" w:hAnsi="Helvetica-W01-Roman" w:cs="Arial"/>
        </w:rPr>
        <w:t>Completely fill out the Application</w:t>
      </w:r>
    </w:p>
    <w:p w14:paraId="188627FF" w14:textId="77777777" w:rsidR="00642B88" w:rsidRPr="00642B88" w:rsidRDefault="00642B88" w:rsidP="00873947">
      <w:pPr>
        <w:pStyle w:val="font8"/>
        <w:numPr>
          <w:ilvl w:val="0"/>
          <w:numId w:val="4"/>
        </w:numPr>
        <w:rPr>
          <w:rFonts w:ascii="Helvetica-W01-Roman" w:hAnsi="Helvetica-W01-Roman" w:cs="Arial"/>
        </w:rPr>
      </w:pPr>
      <w:r w:rsidRPr="00642B88">
        <w:rPr>
          <w:rStyle w:val="color20"/>
          <w:rFonts w:ascii="Helvetica-W01-Roman" w:hAnsi="Helvetica-W01-Roman" w:cs="Arial"/>
        </w:rPr>
        <w:t>Look on the top of the application PDF to find the name of our VETERANS (or Surviving NEXT of KIN) Regional Director Representative. Please email directly to our Regional Director with attachment of the signed Application form.</w:t>
      </w:r>
    </w:p>
    <w:p w14:paraId="6DB9187B" w14:textId="77777777" w:rsidR="00642B88" w:rsidRPr="00642B88" w:rsidRDefault="00642B88" w:rsidP="00873947">
      <w:pPr>
        <w:pStyle w:val="font8"/>
        <w:numPr>
          <w:ilvl w:val="0"/>
          <w:numId w:val="4"/>
        </w:numPr>
        <w:rPr>
          <w:rFonts w:ascii="Helvetica-W01-Roman" w:hAnsi="Helvetica-W01-Roman" w:cs="Arial"/>
        </w:rPr>
      </w:pPr>
      <w:r w:rsidRPr="00642B88">
        <w:rPr>
          <w:rStyle w:val="color20"/>
          <w:rFonts w:ascii="Helvetica-W01-Roman" w:hAnsi="Helvetica-W01-Roman" w:cs="Arial"/>
        </w:rPr>
        <w:t>Once the Regional Director receives your Application they will contact you and follow up to CERTIFY your documentation and/or eligibility (See below for Eligibility for the Medal). Never give any of your ORIGINAL Documents.</w:t>
      </w:r>
    </w:p>
    <w:p w14:paraId="70ED2562" w14:textId="77777777" w:rsidR="00642B88" w:rsidRPr="00642B88" w:rsidRDefault="00642B88" w:rsidP="00873947">
      <w:pPr>
        <w:pStyle w:val="font8"/>
        <w:rPr>
          <w:rFonts w:ascii="Arial" w:hAnsi="Arial" w:cs="Arial"/>
        </w:rPr>
      </w:pPr>
      <w:r w:rsidRPr="00642B88">
        <w:rPr>
          <w:rStyle w:val="color20"/>
          <w:rFonts w:ascii="Helvetica-W01-Roman" w:hAnsi="Helvetica-W01-Roman" w:cs="Arial"/>
        </w:rPr>
        <w:t>Should you not have any documentation, please see our RESOURCE LINKS page to request the VETERAN’s information. This process in ordering/requesting records may take some time.  </w:t>
      </w:r>
    </w:p>
    <w:p w14:paraId="54C026CC" w14:textId="77777777" w:rsidR="00642B88" w:rsidRPr="00642B88" w:rsidRDefault="00642B88" w:rsidP="00873947">
      <w:pPr>
        <w:pStyle w:val="font8"/>
        <w:rPr>
          <w:rFonts w:ascii="Arial" w:hAnsi="Arial" w:cs="Arial"/>
        </w:rPr>
      </w:pPr>
      <w:r w:rsidRPr="00642B88">
        <w:rPr>
          <w:rStyle w:val="wixguard"/>
          <w:rFonts w:ascii="Helvetica-W01-Roman" w:hAnsi="Helvetica-W01-Roman" w:cs="Arial"/>
        </w:rPr>
        <w:t>​</w:t>
      </w:r>
      <w:r w:rsidRPr="00642B88">
        <w:rPr>
          <w:rStyle w:val="color20"/>
          <w:rFonts w:ascii="Helvetica-W01-Roman" w:hAnsi="Helvetica-W01-Roman" w:cs="Arial"/>
        </w:rPr>
        <w:t>Eligibility for the Congressional Gold Medal "Filipino Veterans of World War II" to include an individual who served:</w:t>
      </w:r>
    </w:p>
    <w:p w14:paraId="6A9D463C" w14:textId="77777777" w:rsidR="00642B88" w:rsidRPr="00642B88" w:rsidRDefault="00642B88" w:rsidP="00873947">
      <w:pPr>
        <w:pStyle w:val="font8"/>
        <w:numPr>
          <w:ilvl w:val="0"/>
          <w:numId w:val="5"/>
        </w:numPr>
        <w:rPr>
          <w:rFonts w:ascii="Helvetica-W01-Roman" w:hAnsi="Helvetica-W01-Roman" w:cs="Arial"/>
        </w:rPr>
      </w:pPr>
      <w:r w:rsidRPr="00642B88">
        <w:rPr>
          <w:rStyle w:val="color20"/>
          <w:rFonts w:ascii="Helvetica-W01-Roman" w:hAnsi="Helvetica-W01-Roman" w:cs="Arial"/>
        </w:rPr>
        <w:t xml:space="preserve">Honorably at any time from July 26, 1941, to December 31, </w:t>
      </w:r>
      <w:proofErr w:type="gramStart"/>
      <w:r w:rsidRPr="00642B88">
        <w:rPr>
          <w:rStyle w:val="color20"/>
          <w:rFonts w:ascii="Helvetica-W01-Roman" w:hAnsi="Helvetica-W01-Roman" w:cs="Arial"/>
        </w:rPr>
        <w:t>1946;</w:t>
      </w:r>
      <w:proofErr w:type="gramEnd"/>
    </w:p>
    <w:p w14:paraId="2E9C5BBE" w14:textId="77777777" w:rsidR="00642B88" w:rsidRPr="00642B88" w:rsidRDefault="00642B88" w:rsidP="00873947">
      <w:pPr>
        <w:pStyle w:val="font8"/>
        <w:numPr>
          <w:ilvl w:val="0"/>
          <w:numId w:val="5"/>
        </w:numPr>
        <w:rPr>
          <w:rFonts w:ascii="Helvetica-W01-Roman" w:hAnsi="Helvetica-W01-Roman" w:cs="Arial"/>
        </w:rPr>
      </w:pPr>
      <w:r w:rsidRPr="00642B88">
        <w:rPr>
          <w:rStyle w:val="color20"/>
          <w:rFonts w:ascii="Helvetica-W01-Roman" w:hAnsi="Helvetica-W01-Roman" w:cs="Arial"/>
        </w:rPr>
        <w:t>In an active-duty status under the command of the U.S. Armed Forces in the Far East; and</w:t>
      </w:r>
    </w:p>
    <w:p w14:paraId="3F7849BC" w14:textId="77777777" w:rsidR="00642B88" w:rsidRPr="00642B88" w:rsidRDefault="00642B88" w:rsidP="00873947">
      <w:pPr>
        <w:pStyle w:val="font8"/>
        <w:numPr>
          <w:ilvl w:val="0"/>
          <w:numId w:val="5"/>
        </w:numPr>
        <w:rPr>
          <w:rFonts w:ascii="Helvetica-W01-Roman" w:hAnsi="Helvetica-W01-Roman" w:cs="Arial"/>
        </w:rPr>
      </w:pPr>
      <w:r w:rsidRPr="00642B88">
        <w:rPr>
          <w:rStyle w:val="color20"/>
          <w:rFonts w:ascii="Helvetica-W01-Roman" w:hAnsi="Helvetica-W01-Roman" w:cs="Arial"/>
        </w:rPr>
        <w:t>Within the Philippine Commonwealth Army, the Philippine Scouts, the Philippine Constabulary, Recognized Guerrilla Units, the New Philippine Scouts, the First Filipino Infantry Regiment, the Second Filipino Infantry Battalion (Separate), or the First Reconnaissance Battalion; or</w:t>
      </w:r>
    </w:p>
    <w:p w14:paraId="04B1969B" w14:textId="77777777" w:rsidR="00642B88" w:rsidRPr="00642B88" w:rsidRDefault="00642B88" w:rsidP="00873947">
      <w:pPr>
        <w:pStyle w:val="font8"/>
        <w:numPr>
          <w:ilvl w:val="0"/>
          <w:numId w:val="5"/>
        </w:numPr>
      </w:pPr>
      <w:r w:rsidRPr="00642B88">
        <w:rPr>
          <w:rStyle w:val="color20"/>
          <w:rFonts w:ascii="Helvetica-W01-Roman" w:hAnsi="Helvetica-W01-Roman" w:cs="Arial"/>
        </w:rPr>
        <w:t>Commanding or serving in such a unit as a U.S. military officer or enlisted soldier.</w:t>
      </w:r>
    </w:p>
    <w:p w14:paraId="5EA05AD8" w14:textId="53EAEC44" w:rsidR="005D520F" w:rsidRPr="009835FC" w:rsidRDefault="00DD4BA5" w:rsidP="00873947">
      <w:pPr>
        <w:spacing w:after="0" w:line="240" w:lineRule="auto"/>
      </w:pPr>
    </w:p>
    <w:sectPr w:rsidR="005D520F" w:rsidRPr="009835FC" w:rsidSect="009835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W01-Roman">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133"/>
    <w:multiLevelType w:val="hybridMultilevel"/>
    <w:tmpl w:val="7AC0B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16906"/>
    <w:multiLevelType w:val="hybridMultilevel"/>
    <w:tmpl w:val="B3B6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A692F"/>
    <w:multiLevelType w:val="multilevel"/>
    <w:tmpl w:val="0642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67730"/>
    <w:multiLevelType w:val="hybridMultilevel"/>
    <w:tmpl w:val="5D7CD8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C4A4B"/>
    <w:multiLevelType w:val="multilevel"/>
    <w:tmpl w:val="B2B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453210">
    <w:abstractNumId w:val="1"/>
  </w:num>
  <w:num w:numId="2" w16cid:durableId="299650726">
    <w:abstractNumId w:val="0"/>
  </w:num>
  <w:num w:numId="3" w16cid:durableId="1091581902">
    <w:abstractNumId w:val="3"/>
  </w:num>
  <w:num w:numId="4" w16cid:durableId="869297099">
    <w:abstractNumId w:val="2"/>
  </w:num>
  <w:num w:numId="5" w16cid:durableId="1201896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FC"/>
    <w:rsid w:val="001A6EDB"/>
    <w:rsid w:val="001E5BDE"/>
    <w:rsid w:val="00231494"/>
    <w:rsid w:val="00250080"/>
    <w:rsid w:val="002A09AE"/>
    <w:rsid w:val="002F553B"/>
    <w:rsid w:val="00313A7A"/>
    <w:rsid w:val="00364EF0"/>
    <w:rsid w:val="003A2D11"/>
    <w:rsid w:val="004077CA"/>
    <w:rsid w:val="0041055F"/>
    <w:rsid w:val="00423B4D"/>
    <w:rsid w:val="004646E6"/>
    <w:rsid w:val="004A143B"/>
    <w:rsid w:val="004D6A36"/>
    <w:rsid w:val="005B156E"/>
    <w:rsid w:val="00642B88"/>
    <w:rsid w:val="007238A6"/>
    <w:rsid w:val="00761F0D"/>
    <w:rsid w:val="00873947"/>
    <w:rsid w:val="008F5F33"/>
    <w:rsid w:val="009835FC"/>
    <w:rsid w:val="009F29EC"/>
    <w:rsid w:val="00A60844"/>
    <w:rsid w:val="00AC3DA5"/>
    <w:rsid w:val="00B60A39"/>
    <w:rsid w:val="00C00651"/>
    <w:rsid w:val="00C01E4A"/>
    <w:rsid w:val="00C43708"/>
    <w:rsid w:val="00CA0360"/>
    <w:rsid w:val="00CE17BC"/>
    <w:rsid w:val="00D95B7D"/>
    <w:rsid w:val="00DD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122E"/>
  <w15:chartTrackingRefBased/>
  <w15:docId w15:val="{E96D7740-0C87-40C2-BE6C-9850114D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5FC"/>
    <w:pPr>
      <w:ind w:left="720"/>
      <w:contextualSpacing/>
    </w:pPr>
  </w:style>
  <w:style w:type="character" w:styleId="Hyperlink">
    <w:name w:val="Hyperlink"/>
    <w:basedOn w:val="DefaultParagraphFont"/>
    <w:uiPriority w:val="99"/>
    <w:unhideWhenUsed/>
    <w:rsid w:val="00642B88"/>
    <w:rPr>
      <w:color w:val="0563C1" w:themeColor="hyperlink"/>
      <w:u w:val="single"/>
    </w:rPr>
  </w:style>
  <w:style w:type="paragraph" w:customStyle="1" w:styleId="font8">
    <w:name w:val="font_8"/>
    <w:basedOn w:val="Normal"/>
    <w:rsid w:val="00642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0">
    <w:name w:val="color_20"/>
    <w:basedOn w:val="DefaultParagraphFont"/>
    <w:rsid w:val="00642B88"/>
  </w:style>
  <w:style w:type="character" w:customStyle="1" w:styleId="wixguard">
    <w:name w:val="wixguard"/>
    <w:basedOn w:val="DefaultParagraphFont"/>
    <w:rsid w:val="0064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m@sfbe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Delute</dc:creator>
  <cp:keywords/>
  <dc:description/>
  <cp:lastModifiedBy>Herb Delute</cp:lastModifiedBy>
  <cp:revision>4</cp:revision>
  <cp:lastPrinted>2022-04-22T01:45:00Z</cp:lastPrinted>
  <dcterms:created xsi:type="dcterms:W3CDTF">2022-04-22T01:42:00Z</dcterms:created>
  <dcterms:modified xsi:type="dcterms:W3CDTF">2022-04-26T21:32:00Z</dcterms:modified>
</cp:coreProperties>
</file>